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3E" w:rsidRDefault="003C6EBC">
      <w:pPr>
        <w:widowControl w:val="0"/>
        <w:tabs>
          <w:tab w:val="left" w:pos="90"/>
          <w:tab w:val="center" w:pos="15167"/>
        </w:tabs>
        <w:autoSpaceDE w:val="0"/>
        <w:spacing w:after="0" w:line="240" w:lineRule="auto"/>
      </w:pPr>
      <w:r>
        <w:rPr>
          <w:rFonts w:ascii="Monotype Corsiva" w:hAnsi="Monotype Corsiva" w:cs="Monotype Corsiva"/>
          <w:color w:val="000000"/>
          <w:sz w:val="32"/>
          <w:szCs w:val="32"/>
        </w:rPr>
        <w:t>Presidenza del Consiglio dei ministri</w:t>
      </w:r>
      <w:r>
        <w:rPr>
          <w:rFonts w:ascii="Arial" w:hAnsi="Arial" w:cs="Arial"/>
          <w:sz w:val="24"/>
          <w:szCs w:val="24"/>
        </w:rPr>
        <w:tab/>
      </w:r>
    </w:p>
    <w:p w:rsidR="00E3233E" w:rsidRDefault="003C6EBC">
      <w:pPr>
        <w:widowControl w:val="0"/>
        <w:shd w:val="clear" w:color="auto" w:fill="D6E3BC"/>
        <w:tabs>
          <w:tab w:val="left" w:pos="90"/>
          <w:tab w:val="left" w:pos="8390"/>
        </w:tabs>
        <w:autoSpaceDE w:val="0"/>
        <w:spacing w:before="174" w:after="0" w:line="240" w:lineRule="auto"/>
      </w:pPr>
      <w:r>
        <w:rPr>
          <w:rFonts w:ascii="Trebuchet MS" w:hAnsi="Trebuchet MS" w:cs="Trebuchet MS"/>
          <w:color w:val="000000"/>
          <w:sz w:val="32"/>
          <w:szCs w:val="32"/>
        </w:rPr>
        <w:t xml:space="preserve">posti di funzione dirigenziale di </w:t>
      </w:r>
      <w:r>
        <w:rPr>
          <w:rFonts w:ascii="Trebuchet MS" w:hAnsi="Trebuchet MS" w:cs="Trebuchet MS"/>
          <w:color w:val="000000"/>
          <w:sz w:val="32"/>
          <w:szCs w:val="32"/>
          <w:u w:val="single"/>
        </w:rPr>
        <w:t>livello non generale</w:t>
      </w:r>
      <w:r>
        <w:rPr>
          <w:rFonts w:ascii="Trebuchet MS" w:hAnsi="Trebuchet MS" w:cs="Trebuchet MS"/>
          <w:color w:val="000000"/>
          <w:sz w:val="32"/>
          <w:szCs w:val="32"/>
        </w:rPr>
        <w:t xml:space="preserve"> disponibili –</w:t>
      </w:r>
      <w:r w:rsidR="004A7753">
        <w:rPr>
          <w:rFonts w:ascii="Trebuchet MS" w:hAnsi="Trebuchet MS" w:cs="Trebuchet MS"/>
          <w:color w:val="000000"/>
          <w:sz w:val="32"/>
          <w:szCs w:val="32"/>
        </w:rPr>
        <w:t xml:space="preserve"> </w:t>
      </w:r>
      <w:r w:rsidR="00D861DF">
        <w:rPr>
          <w:rFonts w:ascii="Trebuchet MS" w:hAnsi="Trebuchet MS" w:cs="Trebuchet MS"/>
          <w:color w:val="000000"/>
          <w:sz w:val="32"/>
          <w:szCs w:val="32"/>
        </w:rPr>
        <w:t xml:space="preserve">situazione </w:t>
      </w:r>
      <w:r>
        <w:rPr>
          <w:rFonts w:ascii="Trebuchet MS" w:hAnsi="Trebuchet MS" w:cs="Trebuchet MS"/>
          <w:color w:val="000000"/>
          <w:sz w:val="32"/>
          <w:szCs w:val="32"/>
        </w:rPr>
        <w:t xml:space="preserve">al </w:t>
      </w:r>
      <w:r w:rsidR="004A7753">
        <w:rPr>
          <w:rFonts w:ascii="Trebuchet MS" w:hAnsi="Trebuchet MS" w:cs="Trebuchet MS"/>
          <w:color w:val="000000"/>
          <w:sz w:val="32"/>
          <w:szCs w:val="32"/>
        </w:rPr>
        <w:t>31 dicembre</w:t>
      </w:r>
      <w:r w:rsidR="00640CE6">
        <w:rPr>
          <w:rFonts w:ascii="Trebuchet MS" w:hAnsi="Trebuchet MS" w:cs="Trebuchet MS"/>
          <w:color w:val="000000"/>
          <w:sz w:val="32"/>
          <w:szCs w:val="32"/>
        </w:rPr>
        <w:t xml:space="preserve"> 2017</w:t>
      </w:r>
    </w:p>
    <w:p w:rsidR="00E3233E" w:rsidRDefault="003C6EBC">
      <w:pPr>
        <w:widowControl w:val="0"/>
        <w:tabs>
          <w:tab w:val="left" w:pos="5812"/>
          <w:tab w:val="left" w:pos="6179"/>
          <w:tab w:val="left" w:pos="12022"/>
        </w:tabs>
        <w:autoSpaceDE w:val="0"/>
        <w:spacing w:before="120" w:after="0" w:line="240" w:lineRule="auto"/>
        <w:rPr>
          <w:rFonts w:ascii="Trebuchet MS" w:hAnsi="Trebuchet MS" w:cs="Trebuchet MS"/>
          <w:b/>
          <w:bCs/>
          <w:color w:val="C00000"/>
          <w:sz w:val="18"/>
          <w:szCs w:val="18"/>
        </w:rPr>
      </w:pPr>
      <w:r>
        <w:rPr>
          <w:rFonts w:ascii="Trebuchet MS" w:hAnsi="Trebuchet MS" w:cs="Trebuchet MS"/>
          <w:b/>
          <w:bCs/>
          <w:color w:val="C00000"/>
          <w:sz w:val="18"/>
          <w:szCs w:val="18"/>
        </w:rPr>
        <w:t>NELL’AMBITO DEL DIPARTIMENTO/UFFICIO</w:t>
      </w:r>
      <w:r>
        <w:rPr>
          <w:rFonts w:ascii="Trebuchet MS" w:hAnsi="Trebuchet MS" w:cs="Trebuchet MS"/>
          <w:b/>
          <w:bCs/>
          <w:color w:val="C00000"/>
          <w:sz w:val="18"/>
          <w:szCs w:val="18"/>
        </w:rPr>
        <w:tab/>
        <w:t>POSTO DI FUNZIONE DISPONIBILE</w:t>
      </w:r>
    </w:p>
    <w:tbl>
      <w:tblPr>
        <w:tblW w:w="16126" w:type="dxa"/>
        <w:tblCellMar>
          <w:left w:w="10" w:type="dxa"/>
          <w:right w:w="10" w:type="dxa"/>
        </w:tblCellMar>
        <w:tblLook w:val="0000" w:firstRow="0" w:lastRow="0" w:firstColumn="0" w:lastColumn="0" w:noHBand="0" w:noVBand="0"/>
      </w:tblPr>
      <w:tblGrid>
        <w:gridCol w:w="5920"/>
        <w:gridCol w:w="5670"/>
        <w:gridCol w:w="4536"/>
      </w:tblGrid>
      <w:tr w:rsidR="00A67348" w:rsidTr="00E36E9C">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67348" w:rsidRDefault="00A67348" w:rsidP="00E36E9C">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r>
              <w:rPr>
                <w:rFonts w:ascii="Trebuchet MS" w:hAnsi="Trebuchet MS" w:cs="Trebuchet MS"/>
                <w:b/>
                <w:i/>
                <w:iCs/>
                <w:color w:val="000000"/>
                <w:sz w:val="20"/>
                <w:szCs w:val="20"/>
              </w:rPr>
              <w:t>DIPARTIMENTO DELLA FUNZIONE PUBBLICA</w:t>
            </w:r>
          </w:p>
        </w:tc>
        <w:tc>
          <w:tcPr>
            <w:tcW w:w="4536" w:type="dxa"/>
            <w:shd w:val="clear" w:color="auto" w:fill="auto"/>
            <w:tcMar>
              <w:top w:w="0" w:type="dxa"/>
              <w:left w:w="10" w:type="dxa"/>
              <w:bottom w:w="0" w:type="dxa"/>
              <w:right w:w="10" w:type="dxa"/>
            </w:tcMar>
          </w:tcPr>
          <w:p w:rsidR="00A67348" w:rsidRDefault="00A67348" w:rsidP="00E36E9C">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p>
        </w:tc>
      </w:tr>
      <w:tr w:rsidR="00A67348" w:rsidTr="00E36E9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Pr="005825ED" w:rsidRDefault="00A67348" w:rsidP="00E36E9C">
            <w:pPr>
              <w:widowControl w:val="0"/>
              <w:tabs>
                <w:tab w:val="left" w:pos="90"/>
              </w:tabs>
              <w:autoSpaceDE w:val="0"/>
              <w:spacing w:before="60" w:after="60" w:line="240" w:lineRule="auto"/>
              <w:rPr>
                <w:rFonts w:ascii="Arial" w:hAnsi="Arial" w:cs="Arial"/>
                <w:i/>
                <w:iCs/>
                <w:sz w:val="18"/>
                <w:szCs w:val="18"/>
              </w:rPr>
            </w:pPr>
            <w:r w:rsidRPr="005825ED">
              <w:rPr>
                <w:rFonts w:ascii="Arial" w:hAnsi="Arial" w:cs="Arial"/>
                <w:i/>
                <w:iCs/>
                <w:sz w:val="18"/>
                <w:szCs w:val="18"/>
              </w:rPr>
              <w:t>Ufficio per la semplificazione e la sburocratizzazione</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Pr="005825ED" w:rsidRDefault="001F0AC6" w:rsidP="00A67348">
            <w:pPr>
              <w:widowControl w:val="0"/>
              <w:tabs>
                <w:tab w:val="left" w:pos="90"/>
              </w:tabs>
              <w:autoSpaceDE w:val="0"/>
              <w:spacing w:before="60" w:after="60" w:line="240" w:lineRule="auto"/>
              <w:rPr>
                <w:rFonts w:ascii="Arial" w:hAnsi="Arial" w:cs="Arial"/>
                <w:b/>
                <w:bCs/>
                <w:sz w:val="18"/>
                <w:szCs w:val="18"/>
              </w:rPr>
            </w:pPr>
            <w:r w:rsidRPr="005825ED">
              <w:rPr>
                <w:rFonts w:ascii="Arial" w:hAnsi="Arial" w:cs="Arial"/>
                <w:b/>
                <w:bCs/>
                <w:sz w:val="18"/>
                <w:szCs w:val="18"/>
              </w:rPr>
              <w:t>Servizio per la semplificazione e le relazioni con i cittadini</w:t>
            </w:r>
          </w:p>
        </w:tc>
      </w:tr>
      <w:tr w:rsidR="001F0AC6" w:rsidTr="00E36E9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AC6" w:rsidRPr="005825ED" w:rsidRDefault="001F0AC6" w:rsidP="00A67348">
            <w:pPr>
              <w:widowControl w:val="0"/>
              <w:tabs>
                <w:tab w:val="left" w:pos="90"/>
              </w:tabs>
              <w:autoSpaceDE w:val="0"/>
              <w:spacing w:before="60" w:after="144" w:line="240" w:lineRule="auto"/>
              <w:rPr>
                <w:rFonts w:ascii="Arial" w:hAnsi="Arial" w:cs="Arial"/>
                <w:i/>
                <w:iCs/>
                <w:sz w:val="18"/>
                <w:szCs w:val="18"/>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AC6" w:rsidRPr="005825ED" w:rsidRDefault="001F0AC6" w:rsidP="008B4E59">
            <w:pPr>
              <w:widowControl w:val="0"/>
              <w:tabs>
                <w:tab w:val="left" w:pos="90"/>
              </w:tabs>
              <w:autoSpaceDE w:val="0"/>
              <w:spacing w:before="60" w:after="60" w:line="240" w:lineRule="auto"/>
              <w:rPr>
                <w:rFonts w:ascii="Arial" w:hAnsi="Arial" w:cs="Arial"/>
                <w:b/>
                <w:bCs/>
                <w:sz w:val="18"/>
                <w:szCs w:val="18"/>
              </w:rPr>
            </w:pPr>
            <w:r w:rsidRPr="005825ED">
              <w:rPr>
                <w:rFonts w:ascii="Arial" w:hAnsi="Arial" w:cs="Arial"/>
                <w:b/>
                <w:bCs/>
                <w:sz w:val="18"/>
                <w:szCs w:val="18"/>
              </w:rPr>
              <w:t xml:space="preserve">Servizio per la standardizzazione, la semplificazione delle </w:t>
            </w:r>
            <w:r w:rsidR="008B4E59" w:rsidRPr="005825ED">
              <w:rPr>
                <w:rFonts w:ascii="Arial" w:hAnsi="Arial" w:cs="Arial"/>
                <w:b/>
                <w:bCs/>
                <w:sz w:val="18"/>
                <w:szCs w:val="18"/>
              </w:rPr>
              <w:t>e</w:t>
            </w:r>
            <w:r w:rsidRPr="005825ED">
              <w:rPr>
                <w:rFonts w:ascii="Arial" w:hAnsi="Arial" w:cs="Arial"/>
                <w:b/>
                <w:bCs/>
                <w:sz w:val="18"/>
                <w:szCs w:val="18"/>
              </w:rPr>
              <w:t xml:space="preserve"> la misurazione</w:t>
            </w:r>
          </w:p>
        </w:tc>
      </w:tr>
      <w:tr w:rsidR="001F0AC6" w:rsidTr="00E36E9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AC6" w:rsidRPr="005825ED" w:rsidRDefault="001F0AC6" w:rsidP="00A67348">
            <w:pPr>
              <w:widowControl w:val="0"/>
              <w:tabs>
                <w:tab w:val="left" w:pos="90"/>
              </w:tabs>
              <w:autoSpaceDE w:val="0"/>
              <w:spacing w:before="60" w:after="144" w:line="240" w:lineRule="auto"/>
              <w:rPr>
                <w:rFonts w:ascii="Arial" w:hAnsi="Arial" w:cs="Arial"/>
                <w:i/>
                <w:iCs/>
                <w:sz w:val="18"/>
                <w:szCs w:val="18"/>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AC6" w:rsidRPr="005825ED" w:rsidRDefault="001F0AC6" w:rsidP="00E36E9C">
            <w:pPr>
              <w:widowControl w:val="0"/>
              <w:tabs>
                <w:tab w:val="left" w:pos="90"/>
              </w:tabs>
              <w:autoSpaceDE w:val="0"/>
              <w:spacing w:before="60" w:after="60" w:line="240" w:lineRule="auto"/>
              <w:rPr>
                <w:rFonts w:ascii="Arial" w:hAnsi="Arial" w:cs="Arial"/>
                <w:b/>
                <w:bCs/>
                <w:sz w:val="18"/>
                <w:szCs w:val="18"/>
              </w:rPr>
            </w:pPr>
            <w:r w:rsidRPr="005825ED">
              <w:rPr>
                <w:rFonts w:ascii="Arial" w:hAnsi="Arial" w:cs="Arial"/>
                <w:b/>
                <w:bCs/>
                <w:sz w:val="18"/>
                <w:szCs w:val="18"/>
              </w:rPr>
              <w:t>Servizio per il rafforzamento della capacità</w:t>
            </w:r>
            <w:bookmarkStart w:id="0" w:name="_GoBack"/>
            <w:bookmarkEnd w:id="0"/>
            <w:r w:rsidRPr="005825ED">
              <w:rPr>
                <w:rFonts w:ascii="Arial" w:hAnsi="Arial" w:cs="Arial"/>
                <w:b/>
                <w:bCs/>
                <w:sz w:val="18"/>
                <w:szCs w:val="18"/>
              </w:rPr>
              <w:t xml:space="preserve"> amministrativa in materia di semplificazione</w:t>
            </w:r>
          </w:p>
        </w:tc>
      </w:tr>
      <w:tr w:rsidR="00A67348" w:rsidTr="00E36E9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A67348">
            <w:pPr>
              <w:widowControl w:val="0"/>
              <w:tabs>
                <w:tab w:val="left" w:pos="90"/>
              </w:tabs>
              <w:autoSpaceDE w:val="0"/>
              <w:spacing w:before="60" w:after="144" w:line="240" w:lineRule="auto"/>
              <w:rPr>
                <w:rFonts w:ascii="Arial" w:hAnsi="Arial" w:cs="Arial"/>
                <w:i/>
                <w:iCs/>
                <w:color w:val="000000"/>
                <w:sz w:val="18"/>
                <w:szCs w:val="18"/>
              </w:rPr>
            </w:pPr>
            <w:r>
              <w:rPr>
                <w:rFonts w:ascii="Arial" w:hAnsi="Arial" w:cs="Arial"/>
                <w:i/>
                <w:iCs/>
                <w:color w:val="000000"/>
                <w:sz w:val="18"/>
                <w:szCs w:val="18"/>
              </w:rPr>
              <w:t>Ufficio per l’organizzazione del lavoro pubblico</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E36E9C">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per le assunzioni e la mobilità</w:t>
            </w:r>
          </w:p>
        </w:tc>
      </w:tr>
      <w:tr w:rsidR="00A67348" w:rsidTr="00E36E9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E36E9C">
            <w:pPr>
              <w:widowControl w:val="0"/>
              <w:tabs>
                <w:tab w:val="left" w:pos="90"/>
              </w:tabs>
              <w:autoSpaceDE w:val="0"/>
              <w:spacing w:before="60" w:after="144" w:line="240" w:lineRule="auto"/>
              <w:rPr>
                <w:rFonts w:ascii="Arial" w:hAnsi="Arial" w:cs="Arial"/>
                <w:i/>
                <w:iCs/>
                <w:color w:val="000000"/>
                <w:sz w:val="18"/>
                <w:szCs w:val="18"/>
              </w:rPr>
            </w:pPr>
            <w:r>
              <w:rPr>
                <w:rFonts w:ascii="Arial" w:hAnsi="Arial" w:cs="Arial"/>
                <w:i/>
                <w:iCs/>
                <w:color w:val="000000"/>
                <w:sz w:val="18"/>
                <w:szCs w:val="18"/>
              </w:rPr>
              <w:t>Ufficio per le relazioni sindacali</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E36E9C">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per la contrattazione collettiva</w:t>
            </w:r>
          </w:p>
        </w:tc>
      </w:tr>
      <w:tr w:rsidR="00A67348" w:rsidTr="00BA00E9">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67348" w:rsidRDefault="00A67348" w:rsidP="00BA00E9">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r>
              <w:rPr>
                <w:rFonts w:ascii="Trebuchet MS" w:hAnsi="Trebuchet MS" w:cs="Trebuchet MS"/>
                <w:b/>
                <w:i/>
                <w:iCs/>
                <w:color w:val="000000"/>
                <w:sz w:val="20"/>
                <w:szCs w:val="20"/>
              </w:rPr>
              <w:t>DIPARTIMENTO DELLA GIOVENTU' E DEL SERVIZIO CIVILE NAZIONALE</w:t>
            </w:r>
          </w:p>
        </w:tc>
        <w:tc>
          <w:tcPr>
            <w:tcW w:w="4536" w:type="dxa"/>
            <w:shd w:val="clear" w:color="auto" w:fill="auto"/>
            <w:tcMar>
              <w:top w:w="0" w:type="dxa"/>
              <w:left w:w="10" w:type="dxa"/>
              <w:bottom w:w="0" w:type="dxa"/>
              <w:right w:w="10" w:type="dxa"/>
            </w:tcMar>
          </w:tcPr>
          <w:p w:rsidR="00A67348" w:rsidRDefault="00A67348" w:rsidP="00BA00E9">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p>
        </w:tc>
      </w:tr>
      <w:tr w:rsidR="00A67348" w:rsidTr="00A67348">
        <w:tc>
          <w:tcPr>
            <w:tcW w:w="59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67348" w:rsidRPr="00A67348" w:rsidRDefault="00A67348" w:rsidP="00BA00E9">
            <w:pPr>
              <w:widowControl w:val="0"/>
              <w:tabs>
                <w:tab w:val="left" w:pos="90"/>
              </w:tabs>
              <w:autoSpaceDE w:val="0"/>
              <w:spacing w:before="60" w:after="144" w:line="240" w:lineRule="auto"/>
              <w:rPr>
                <w:rFonts w:ascii="Arial" w:hAnsi="Arial" w:cs="Arial"/>
                <w:iCs/>
                <w:color w:val="000000"/>
                <w:sz w:val="18"/>
                <w:szCs w:val="18"/>
              </w:rPr>
            </w:pPr>
            <w:r>
              <w:rPr>
                <w:rFonts w:ascii="Arial" w:hAnsi="Arial" w:cs="Arial"/>
                <w:i/>
                <w:iCs/>
                <w:color w:val="000000"/>
                <w:sz w:val="18"/>
                <w:szCs w:val="18"/>
              </w:rPr>
              <w:t>Alle dirette dipendenze del Capo Dipartimento</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BA00E9">
            <w:pPr>
              <w:widowControl w:val="0"/>
              <w:tabs>
                <w:tab w:val="left" w:pos="34"/>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programmazione, monitoraggio, controllo e ispezioni</w:t>
            </w:r>
          </w:p>
        </w:tc>
      </w:tr>
      <w:tr w:rsidR="00A67348" w:rsidTr="00A67348">
        <w:tc>
          <w:tcPr>
            <w:tcW w:w="59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BA00E9">
            <w:pPr>
              <w:widowControl w:val="0"/>
              <w:tabs>
                <w:tab w:val="left" w:pos="90"/>
              </w:tabs>
              <w:autoSpaceDE w:val="0"/>
              <w:spacing w:before="60" w:after="144" w:line="240" w:lineRule="auto"/>
              <w:rPr>
                <w:rFonts w:ascii="Arial" w:hAnsi="Arial" w:cs="Arial"/>
                <w:i/>
                <w:iCs/>
                <w:color w:val="000000"/>
                <w:sz w:val="18"/>
                <w:szCs w:val="18"/>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A67348">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affari giuridici e contenzioso</w:t>
            </w:r>
          </w:p>
        </w:tc>
      </w:tr>
      <w:tr w:rsidR="001F0AC6" w:rsidTr="00A67348">
        <w:tc>
          <w:tcPr>
            <w:tcW w:w="59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AC6" w:rsidRPr="005825ED" w:rsidRDefault="001F0AC6" w:rsidP="00BA00E9">
            <w:pPr>
              <w:widowControl w:val="0"/>
              <w:tabs>
                <w:tab w:val="left" w:pos="90"/>
              </w:tabs>
              <w:autoSpaceDE w:val="0"/>
              <w:spacing w:before="60" w:after="144" w:line="240" w:lineRule="auto"/>
              <w:rPr>
                <w:rFonts w:ascii="Arial" w:hAnsi="Arial" w:cs="Arial"/>
                <w:i/>
                <w:iCs/>
                <w:sz w:val="18"/>
                <w:szCs w:val="18"/>
              </w:rPr>
            </w:pPr>
            <w:r w:rsidRPr="005825ED">
              <w:rPr>
                <w:rFonts w:ascii="Arial" w:hAnsi="Arial" w:cs="Arial"/>
                <w:i/>
                <w:iCs/>
                <w:sz w:val="18"/>
                <w:szCs w:val="18"/>
              </w:rPr>
              <w:t>Ufficio per le politiche giovanili</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AC6" w:rsidRPr="005825ED" w:rsidRDefault="001F0AC6" w:rsidP="00A67348">
            <w:pPr>
              <w:widowControl w:val="0"/>
              <w:tabs>
                <w:tab w:val="left" w:pos="90"/>
              </w:tabs>
              <w:autoSpaceDE w:val="0"/>
              <w:spacing w:before="60" w:after="60" w:line="240" w:lineRule="auto"/>
              <w:rPr>
                <w:rFonts w:ascii="Arial" w:hAnsi="Arial" w:cs="Arial"/>
                <w:b/>
                <w:bCs/>
                <w:sz w:val="18"/>
                <w:szCs w:val="18"/>
              </w:rPr>
            </w:pPr>
            <w:r w:rsidRPr="005825ED">
              <w:rPr>
                <w:rFonts w:ascii="Arial" w:hAnsi="Arial" w:cs="Arial"/>
                <w:b/>
                <w:bCs/>
                <w:sz w:val="18"/>
                <w:szCs w:val="18"/>
              </w:rPr>
              <w:t>Servizio per la gestione delle azioni di rilevanza comunitaria e per le relazioni internazionali ed europee</w:t>
            </w:r>
          </w:p>
        </w:tc>
      </w:tr>
      <w:tr w:rsidR="00A67348" w:rsidTr="00133B51">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67348" w:rsidRDefault="00A67348" w:rsidP="00133B51">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r>
              <w:rPr>
                <w:rFonts w:ascii="Trebuchet MS" w:hAnsi="Trebuchet MS" w:cs="Trebuchet MS"/>
                <w:b/>
                <w:i/>
                <w:iCs/>
                <w:color w:val="000000"/>
                <w:sz w:val="20"/>
                <w:szCs w:val="20"/>
              </w:rPr>
              <w:t>DIPARTIMENTO PER LE PARI OPPORTUNITA'</w:t>
            </w:r>
          </w:p>
        </w:tc>
        <w:tc>
          <w:tcPr>
            <w:tcW w:w="4536" w:type="dxa"/>
            <w:shd w:val="clear" w:color="auto" w:fill="auto"/>
            <w:tcMar>
              <w:top w:w="0" w:type="dxa"/>
              <w:left w:w="10" w:type="dxa"/>
              <w:bottom w:w="0" w:type="dxa"/>
              <w:right w:w="10" w:type="dxa"/>
            </w:tcMar>
          </w:tcPr>
          <w:p w:rsidR="00A67348" w:rsidRDefault="00A67348" w:rsidP="00133B51">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p>
        </w:tc>
      </w:tr>
      <w:tr w:rsidR="00A67348" w:rsidTr="00133B51">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133B51">
            <w:pPr>
              <w:widowControl w:val="0"/>
              <w:tabs>
                <w:tab w:val="left" w:pos="90"/>
              </w:tabs>
              <w:autoSpaceDE w:val="0"/>
              <w:spacing w:before="60" w:after="60" w:line="240" w:lineRule="auto"/>
              <w:rPr>
                <w:rFonts w:ascii="Arial" w:hAnsi="Arial" w:cs="Arial"/>
                <w:i/>
                <w:iCs/>
                <w:color w:val="000000"/>
                <w:sz w:val="18"/>
                <w:szCs w:val="18"/>
              </w:rPr>
            </w:pPr>
            <w:r>
              <w:rPr>
                <w:rFonts w:ascii="Arial" w:hAnsi="Arial" w:cs="Arial"/>
                <w:i/>
                <w:iCs/>
                <w:color w:val="000000"/>
                <w:sz w:val="18"/>
                <w:szCs w:val="18"/>
              </w:rPr>
              <w:t>Ufficio per gli interventi in materia di parità e pari opportunità</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133B51">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per le pari opportunità e gli interventi strategici</w:t>
            </w:r>
          </w:p>
        </w:tc>
      </w:tr>
      <w:tr w:rsidR="00A67348" w:rsidTr="00133B51">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133B51">
            <w:pPr>
              <w:widowControl w:val="0"/>
              <w:tabs>
                <w:tab w:val="left" w:pos="90"/>
              </w:tabs>
              <w:autoSpaceDE w:val="0"/>
              <w:spacing w:before="60" w:after="60" w:line="240" w:lineRule="auto"/>
              <w:rPr>
                <w:rFonts w:ascii="Arial" w:hAnsi="Arial" w:cs="Arial"/>
                <w:i/>
                <w:iCs/>
                <w:color w:val="000000"/>
                <w:sz w:val="18"/>
                <w:szCs w:val="18"/>
              </w:rPr>
            </w:pPr>
            <w:r>
              <w:rPr>
                <w:rFonts w:ascii="Arial" w:hAnsi="Arial" w:cs="Arial"/>
                <w:i/>
                <w:iCs/>
                <w:color w:val="000000"/>
                <w:sz w:val="18"/>
                <w:szCs w:val="18"/>
              </w:rPr>
              <w:t>U</w:t>
            </w:r>
            <w:r w:rsidRPr="002D0090">
              <w:rPr>
                <w:rFonts w:ascii="Arial" w:hAnsi="Arial" w:cs="Arial"/>
                <w:i/>
                <w:iCs/>
                <w:color w:val="000000"/>
                <w:sz w:val="18"/>
                <w:szCs w:val="18"/>
              </w:rPr>
              <w:t>fficio per la promozione della parità di trattamento e la rimozione delle discriminazioni fondate sulla razza e sull'origine etnica - UNAR</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A67348">
            <w:pPr>
              <w:widowControl w:val="0"/>
              <w:tabs>
                <w:tab w:val="left" w:pos="90"/>
              </w:tabs>
              <w:autoSpaceDE w:val="0"/>
              <w:spacing w:before="60" w:after="60" w:line="240" w:lineRule="auto"/>
              <w:rPr>
                <w:rFonts w:ascii="Arial" w:hAnsi="Arial" w:cs="Arial"/>
                <w:b/>
                <w:bCs/>
                <w:color w:val="000000"/>
                <w:sz w:val="18"/>
                <w:szCs w:val="18"/>
              </w:rPr>
            </w:pPr>
            <w:r w:rsidRPr="002D0090">
              <w:rPr>
                <w:rFonts w:ascii="Arial" w:hAnsi="Arial" w:cs="Arial"/>
                <w:b/>
                <w:bCs/>
                <w:color w:val="000000"/>
                <w:sz w:val="18"/>
                <w:szCs w:val="18"/>
              </w:rPr>
              <w:t xml:space="preserve">Servizio </w:t>
            </w:r>
            <w:r>
              <w:rPr>
                <w:rFonts w:ascii="Arial" w:hAnsi="Arial" w:cs="Arial"/>
                <w:b/>
                <w:bCs/>
                <w:color w:val="000000"/>
                <w:sz w:val="18"/>
                <w:szCs w:val="18"/>
              </w:rPr>
              <w:t>per la tutela della parità di trattamento</w:t>
            </w:r>
          </w:p>
        </w:tc>
      </w:tr>
      <w:tr w:rsidR="00A67348" w:rsidTr="00133B51">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Default="00A67348" w:rsidP="00133B51">
            <w:pPr>
              <w:widowControl w:val="0"/>
              <w:tabs>
                <w:tab w:val="left" w:pos="90"/>
              </w:tabs>
              <w:autoSpaceDE w:val="0"/>
              <w:spacing w:before="60" w:after="60" w:line="240" w:lineRule="auto"/>
              <w:rPr>
                <w:rFonts w:ascii="Arial" w:hAnsi="Arial" w:cs="Arial"/>
                <w:i/>
                <w:iCs/>
                <w:color w:val="000000"/>
                <w:sz w:val="18"/>
                <w:szCs w:val="18"/>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348" w:rsidRPr="002D0090" w:rsidRDefault="00A67348" w:rsidP="00A67348">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studi ricerche e relazioni istituzionali</w:t>
            </w:r>
          </w:p>
        </w:tc>
      </w:tr>
      <w:tr w:rsidR="00A67348" w:rsidTr="00C11FF5">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67348" w:rsidRDefault="00A67348" w:rsidP="00C11FF5">
            <w:pPr>
              <w:widowControl w:val="0"/>
              <w:tabs>
                <w:tab w:val="right" w:pos="5544"/>
                <w:tab w:val="left" w:pos="5634"/>
                <w:tab w:val="center" w:pos="6488"/>
                <w:tab w:val="left" w:pos="12189"/>
              </w:tabs>
              <w:autoSpaceDE w:val="0"/>
              <w:spacing w:before="60" w:after="60" w:line="240" w:lineRule="auto"/>
            </w:pPr>
            <w:r>
              <w:rPr>
                <w:rFonts w:ascii="Trebuchet MS" w:hAnsi="Trebuchet MS" w:cs="Trebuchet MS"/>
                <w:b/>
                <w:i/>
                <w:iCs/>
                <w:color w:val="000000"/>
                <w:sz w:val="20"/>
                <w:szCs w:val="20"/>
              </w:rPr>
              <w:t xml:space="preserve">DIPARTIMENTO PER LE POLITICHE EUROPEE </w:t>
            </w:r>
          </w:p>
        </w:tc>
        <w:tc>
          <w:tcPr>
            <w:tcW w:w="4536" w:type="dxa"/>
            <w:shd w:val="clear" w:color="auto" w:fill="auto"/>
            <w:tcMar>
              <w:top w:w="0" w:type="dxa"/>
              <w:left w:w="10" w:type="dxa"/>
              <w:bottom w:w="0" w:type="dxa"/>
              <w:right w:w="10" w:type="dxa"/>
            </w:tcMar>
          </w:tcPr>
          <w:p w:rsidR="00A67348" w:rsidRDefault="00A67348" w:rsidP="00C11FF5">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p>
        </w:tc>
      </w:tr>
      <w:tr w:rsidR="00A67348" w:rsidTr="00C11FF5">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7348" w:rsidRDefault="00A67348" w:rsidP="00C11FF5">
            <w:pPr>
              <w:widowControl w:val="0"/>
              <w:tabs>
                <w:tab w:val="left" w:pos="90"/>
              </w:tabs>
              <w:autoSpaceDE w:val="0"/>
              <w:spacing w:before="60" w:after="144" w:line="240" w:lineRule="auto"/>
              <w:rPr>
                <w:rFonts w:ascii="Arial" w:hAnsi="Arial" w:cs="Arial"/>
                <w:i/>
                <w:iCs/>
                <w:color w:val="000000"/>
                <w:sz w:val="18"/>
                <w:szCs w:val="18"/>
              </w:rPr>
            </w:pPr>
            <w:r>
              <w:rPr>
                <w:rFonts w:ascii="Arial" w:hAnsi="Arial" w:cs="Arial"/>
                <w:i/>
                <w:iCs/>
                <w:color w:val="000000"/>
                <w:sz w:val="18"/>
                <w:szCs w:val="18"/>
              </w:rPr>
              <w:t>Ufficio per il coo</w:t>
            </w:r>
            <w:r w:rsidR="00260364">
              <w:rPr>
                <w:rFonts w:ascii="Arial" w:hAnsi="Arial" w:cs="Arial"/>
                <w:i/>
                <w:iCs/>
                <w:color w:val="000000"/>
                <w:sz w:val="18"/>
                <w:szCs w:val="18"/>
              </w:rPr>
              <w:t>rdinamento in materia di aiuti d</w:t>
            </w:r>
            <w:r>
              <w:rPr>
                <w:rFonts w:ascii="Arial" w:hAnsi="Arial" w:cs="Arial"/>
                <w:i/>
                <w:iCs/>
                <w:color w:val="000000"/>
                <w:sz w:val="18"/>
                <w:szCs w:val="18"/>
              </w:rPr>
              <w:t>i Stato</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7348" w:rsidRPr="00FE0D61" w:rsidRDefault="00BF1CEA" w:rsidP="00C11FF5">
            <w:pPr>
              <w:widowControl w:val="0"/>
              <w:tabs>
                <w:tab w:val="left" w:pos="90"/>
              </w:tabs>
              <w:autoSpaceDE w:val="0"/>
              <w:spacing w:before="60" w:after="60" w:line="240" w:lineRule="auto"/>
              <w:rPr>
                <w:rFonts w:ascii="Arial" w:hAnsi="Arial" w:cs="Arial"/>
                <w:b/>
                <w:bCs/>
                <w:color w:val="000000"/>
                <w:sz w:val="18"/>
                <w:szCs w:val="18"/>
              </w:rPr>
            </w:pPr>
            <w:r w:rsidRPr="00BF1CEA">
              <w:rPr>
                <w:rFonts w:ascii="Arial" w:hAnsi="Arial" w:cs="Arial"/>
                <w:b/>
                <w:bCs/>
                <w:color w:val="000000"/>
                <w:sz w:val="18"/>
                <w:szCs w:val="18"/>
              </w:rPr>
              <w:t>Servizio di coordinamento e monitoraggio delle politiche europee di carattere orizzontale - Segreteria CIAE</w:t>
            </w:r>
          </w:p>
        </w:tc>
      </w:tr>
      <w:tr w:rsidR="0037778E" w:rsidTr="000E69F0">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778E" w:rsidRDefault="0037778E" w:rsidP="000E69F0">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r>
              <w:rPr>
                <w:rFonts w:ascii="Trebuchet MS" w:hAnsi="Trebuchet MS" w:cs="Trebuchet MS"/>
                <w:b/>
                <w:i/>
                <w:iCs/>
                <w:color w:val="000000"/>
                <w:sz w:val="20"/>
                <w:szCs w:val="20"/>
              </w:rPr>
              <w:t>DIPARTIMENTO CASA ITALIA</w:t>
            </w:r>
          </w:p>
        </w:tc>
        <w:tc>
          <w:tcPr>
            <w:tcW w:w="4536" w:type="dxa"/>
            <w:shd w:val="clear" w:color="auto" w:fill="auto"/>
            <w:tcMar>
              <w:top w:w="0" w:type="dxa"/>
              <w:left w:w="10" w:type="dxa"/>
              <w:bottom w:w="0" w:type="dxa"/>
              <w:right w:w="10" w:type="dxa"/>
            </w:tcMar>
          </w:tcPr>
          <w:p w:rsidR="0037778E" w:rsidRDefault="0037778E" w:rsidP="000E69F0">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p>
        </w:tc>
      </w:tr>
      <w:tr w:rsidR="00A67348" w:rsidTr="0037778E">
        <w:tc>
          <w:tcPr>
            <w:tcW w:w="592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67348" w:rsidRDefault="00A67348" w:rsidP="0037778E">
            <w:pPr>
              <w:widowControl w:val="0"/>
              <w:tabs>
                <w:tab w:val="left" w:pos="90"/>
              </w:tabs>
              <w:autoSpaceDE w:val="0"/>
              <w:spacing w:before="60" w:after="144" w:line="240" w:lineRule="auto"/>
              <w:rPr>
                <w:rFonts w:ascii="Arial" w:hAnsi="Arial" w:cs="Arial"/>
                <w:i/>
                <w:iCs/>
                <w:color w:val="000000"/>
                <w:sz w:val="18"/>
                <w:szCs w:val="18"/>
              </w:rPr>
            </w:pPr>
            <w:r>
              <w:rPr>
                <w:rFonts w:ascii="Arial" w:hAnsi="Arial" w:cs="Arial"/>
                <w:i/>
                <w:iCs/>
                <w:color w:val="000000"/>
                <w:sz w:val="18"/>
                <w:szCs w:val="18"/>
              </w:rPr>
              <w:t xml:space="preserve">Ufficio </w:t>
            </w:r>
            <w:r w:rsidR="0037778E">
              <w:rPr>
                <w:rFonts w:ascii="Arial" w:hAnsi="Arial" w:cs="Arial"/>
                <w:i/>
                <w:iCs/>
                <w:color w:val="000000"/>
                <w:sz w:val="18"/>
                <w:szCs w:val="18"/>
              </w:rPr>
              <w:t>per il coordinamento dei dati e delle misure finanziarie</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7348" w:rsidRDefault="0037778E" w:rsidP="00613A65">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per il coordinamento dei dati</w:t>
            </w:r>
          </w:p>
        </w:tc>
      </w:tr>
      <w:tr w:rsidR="0037778E" w:rsidTr="0037778E">
        <w:tc>
          <w:tcPr>
            <w:tcW w:w="592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78E" w:rsidRDefault="0037778E" w:rsidP="00A67348">
            <w:pPr>
              <w:widowControl w:val="0"/>
              <w:tabs>
                <w:tab w:val="left" w:pos="90"/>
              </w:tabs>
              <w:autoSpaceDE w:val="0"/>
              <w:spacing w:before="60" w:after="144" w:line="240" w:lineRule="auto"/>
              <w:rPr>
                <w:rFonts w:ascii="Arial" w:hAnsi="Arial" w:cs="Arial"/>
                <w:i/>
                <w:iCs/>
                <w:color w:val="000000"/>
                <w:sz w:val="18"/>
                <w:szCs w:val="18"/>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78E" w:rsidRDefault="0037778E" w:rsidP="00613A65">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per il coordinamento delle misure finanziarie</w:t>
            </w:r>
          </w:p>
        </w:tc>
      </w:tr>
      <w:tr w:rsidR="0037778E" w:rsidTr="0037778E">
        <w:tc>
          <w:tcPr>
            <w:tcW w:w="592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7778E" w:rsidRDefault="0037778E" w:rsidP="00A67348">
            <w:pPr>
              <w:widowControl w:val="0"/>
              <w:tabs>
                <w:tab w:val="left" w:pos="90"/>
              </w:tabs>
              <w:autoSpaceDE w:val="0"/>
              <w:spacing w:before="60" w:after="144" w:line="240" w:lineRule="auto"/>
              <w:rPr>
                <w:rFonts w:ascii="Arial" w:hAnsi="Arial" w:cs="Arial"/>
                <w:i/>
                <w:iCs/>
                <w:color w:val="000000"/>
                <w:sz w:val="18"/>
                <w:szCs w:val="18"/>
              </w:rPr>
            </w:pPr>
            <w:r>
              <w:rPr>
                <w:rFonts w:ascii="Arial" w:hAnsi="Arial" w:cs="Arial"/>
                <w:i/>
                <w:iCs/>
                <w:color w:val="000000"/>
                <w:sz w:val="18"/>
                <w:szCs w:val="18"/>
              </w:rPr>
              <w:t>Ufficio per il coordinamento delle amministrazioni e per la gestione dei progetti</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78E" w:rsidRDefault="0037778E" w:rsidP="00613A65">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per il coordinamento delle amministrazioni</w:t>
            </w:r>
          </w:p>
        </w:tc>
      </w:tr>
      <w:tr w:rsidR="0037778E" w:rsidTr="0037778E">
        <w:tc>
          <w:tcPr>
            <w:tcW w:w="592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78E" w:rsidRDefault="0037778E" w:rsidP="00A67348">
            <w:pPr>
              <w:widowControl w:val="0"/>
              <w:tabs>
                <w:tab w:val="left" w:pos="90"/>
              </w:tabs>
              <w:autoSpaceDE w:val="0"/>
              <w:spacing w:before="60" w:after="144" w:line="240" w:lineRule="auto"/>
              <w:rPr>
                <w:rFonts w:ascii="Arial" w:hAnsi="Arial" w:cs="Arial"/>
                <w:i/>
                <w:iCs/>
                <w:color w:val="000000"/>
                <w:sz w:val="18"/>
                <w:szCs w:val="18"/>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78E" w:rsidRDefault="0037778E" w:rsidP="00613A65">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per la gestione dei progetti</w:t>
            </w:r>
          </w:p>
        </w:tc>
      </w:tr>
      <w:tr w:rsidR="0037778E" w:rsidTr="0006630D">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778E" w:rsidRDefault="0037778E" w:rsidP="0006630D">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r>
              <w:rPr>
                <w:rFonts w:ascii="Trebuchet MS" w:hAnsi="Trebuchet MS" w:cs="Trebuchet MS"/>
                <w:b/>
                <w:i/>
                <w:iCs/>
                <w:color w:val="000000"/>
                <w:sz w:val="20"/>
                <w:szCs w:val="20"/>
              </w:rPr>
              <w:t>DIPARTIMENTO PER LE POLITICHE DELLA FAMIGLIA</w:t>
            </w:r>
          </w:p>
        </w:tc>
        <w:tc>
          <w:tcPr>
            <w:tcW w:w="4536" w:type="dxa"/>
            <w:shd w:val="clear" w:color="auto" w:fill="auto"/>
            <w:tcMar>
              <w:top w:w="0" w:type="dxa"/>
              <w:left w:w="10" w:type="dxa"/>
              <w:bottom w:w="0" w:type="dxa"/>
              <w:right w:w="10" w:type="dxa"/>
            </w:tcMar>
          </w:tcPr>
          <w:p w:rsidR="0037778E" w:rsidRDefault="0037778E" w:rsidP="0006630D">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p>
        </w:tc>
      </w:tr>
      <w:tr w:rsidR="0037778E" w:rsidTr="0006630D">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8E" w:rsidRDefault="0037778E" w:rsidP="0006630D">
            <w:pPr>
              <w:widowControl w:val="0"/>
              <w:tabs>
                <w:tab w:val="left" w:pos="90"/>
              </w:tabs>
              <w:autoSpaceDE w:val="0"/>
              <w:spacing w:before="60" w:after="60" w:line="240" w:lineRule="auto"/>
              <w:rPr>
                <w:rFonts w:ascii="Arial" w:hAnsi="Arial" w:cs="Arial"/>
                <w:i/>
                <w:iCs/>
                <w:color w:val="000000"/>
                <w:sz w:val="18"/>
                <w:szCs w:val="18"/>
              </w:rPr>
            </w:pPr>
            <w:r>
              <w:rPr>
                <w:rFonts w:ascii="Arial" w:hAnsi="Arial" w:cs="Arial"/>
                <w:i/>
                <w:iCs/>
                <w:color w:val="000000"/>
                <w:sz w:val="18"/>
                <w:szCs w:val="18"/>
              </w:rPr>
              <w:t>Ufficio I – “interventi per la conciliazione, comunicazione e gestione</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8E" w:rsidRDefault="0037778E" w:rsidP="0006630D">
            <w:pPr>
              <w:widowControl w:val="0"/>
              <w:tabs>
                <w:tab w:val="left" w:pos="90"/>
              </w:tabs>
              <w:autoSpaceDE w:val="0"/>
              <w:spacing w:before="60" w:after="60" w:line="240" w:lineRule="auto"/>
              <w:rPr>
                <w:rFonts w:ascii="Arial" w:hAnsi="Arial" w:cs="Arial"/>
                <w:b/>
                <w:bCs/>
                <w:color w:val="000000"/>
                <w:sz w:val="18"/>
                <w:szCs w:val="18"/>
              </w:rPr>
            </w:pPr>
            <w:r w:rsidRPr="002D0090">
              <w:rPr>
                <w:rFonts w:ascii="Arial" w:hAnsi="Arial" w:cs="Arial"/>
                <w:b/>
                <w:bCs/>
                <w:color w:val="000000"/>
                <w:sz w:val="18"/>
                <w:szCs w:val="18"/>
              </w:rPr>
              <w:t>Servizio II - comunicazione, affari generali, personale e bilancio</w:t>
            </w:r>
          </w:p>
        </w:tc>
      </w:tr>
      <w:tr w:rsidR="0037778E" w:rsidTr="009022D6">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778E" w:rsidRDefault="0037778E" w:rsidP="009022D6">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r>
              <w:rPr>
                <w:rFonts w:ascii="Trebuchet MS" w:hAnsi="Trebuchet MS" w:cs="Trebuchet MS"/>
                <w:b/>
                <w:i/>
                <w:iCs/>
                <w:color w:val="000000"/>
                <w:sz w:val="20"/>
                <w:szCs w:val="20"/>
              </w:rPr>
              <w:lastRenderedPageBreak/>
              <w:t>COMMISSIONE PER LE ADOZIONI INTERNAZIONALI</w:t>
            </w:r>
          </w:p>
        </w:tc>
        <w:tc>
          <w:tcPr>
            <w:tcW w:w="4536" w:type="dxa"/>
            <w:shd w:val="clear" w:color="auto" w:fill="auto"/>
            <w:tcMar>
              <w:top w:w="0" w:type="dxa"/>
              <w:left w:w="10" w:type="dxa"/>
              <w:bottom w:w="0" w:type="dxa"/>
              <w:right w:w="10" w:type="dxa"/>
            </w:tcMar>
          </w:tcPr>
          <w:p w:rsidR="0037778E" w:rsidRDefault="0037778E" w:rsidP="009022D6">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p>
        </w:tc>
      </w:tr>
      <w:tr w:rsidR="0037778E" w:rsidTr="009022D6">
        <w:tc>
          <w:tcPr>
            <w:tcW w:w="5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8E" w:rsidRDefault="0037778E" w:rsidP="009022D6">
            <w:pPr>
              <w:widowControl w:val="0"/>
              <w:tabs>
                <w:tab w:val="left" w:pos="90"/>
              </w:tabs>
              <w:autoSpaceDE w:val="0"/>
              <w:spacing w:before="60" w:after="60" w:line="240" w:lineRule="auto"/>
              <w:rPr>
                <w:rFonts w:ascii="Arial" w:hAnsi="Arial" w:cs="Arial"/>
                <w:i/>
                <w:iCs/>
                <w:color w:val="000000"/>
                <w:sz w:val="18"/>
                <w:szCs w:val="18"/>
              </w:rPr>
            </w:pPr>
            <w:r>
              <w:rPr>
                <w:rFonts w:ascii="Arial" w:hAnsi="Arial" w:cs="Arial"/>
                <w:i/>
                <w:iCs/>
                <w:color w:val="000000"/>
                <w:sz w:val="18"/>
                <w:szCs w:val="18"/>
              </w:rPr>
              <w:t>Segreteria tecnica</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8E" w:rsidRDefault="0037778E" w:rsidP="009022D6">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per le adozioni</w:t>
            </w:r>
          </w:p>
        </w:tc>
      </w:tr>
      <w:tr w:rsidR="0037778E" w:rsidTr="009022D6">
        <w:tc>
          <w:tcPr>
            <w:tcW w:w="5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8E" w:rsidRDefault="0037778E" w:rsidP="009022D6">
            <w:pPr>
              <w:widowControl w:val="0"/>
              <w:tabs>
                <w:tab w:val="left" w:pos="90"/>
              </w:tabs>
              <w:autoSpaceDE w:val="0"/>
              <w:spacing w:before="60" w:after="144" w:line="240" w:lineRule="auto"/>
              <w:rPr>
                <w:rFonts w:ascii="Arial" w:hAnsi="Arial" w:cs="Arial"/>
                <w:i/>
                <w:iCs/>
                <w:color w:val="000000"/>
                <w:sz w:val="18"/>
                <w:szCs w:val="18"/>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8E" w:rsidRDefault="0037778E" w:rsidP="009022D6">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per gli affari amministrativi e contabili</w:t>
            </w:r>
          </w:p>
        </w:tc>
      </w:tr>
      <w:tr w:rsidR="00E3233E">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3233E" w:rsidRDefault="003C6EBC">
            <w:pPr>
              <w:widowControl w:val="0"/>
              <w:tabs>
                <w:tab w:val="right" w:pos="5544"/>
                <w:tab w:val="left" w:pos="5634"/>
                <w:tab w:val="center" w:pos="6488"/>
                <w:tab w:val="left" w:pos="12189"/>
              </w:tabs>
              <w:autoSpaceDE w:val="0"/>
              <w:spacing w:before="60" w:after="60" w:line="240" w:lineRule="auto"/>
            </w:pPr>
            <w:r>
              <w:rPr>
                <w:rFonts w:ascii="Trebuchet MS" w:hAnsi="Trebuchet MS" w:cs="Trebuchet MS"/>
                <w:b/>
                <w:i/>
                <w:iCs/>
                <w:color w:val="000000"/>
                <w:sz w:val="20"/>
                <w:szCs w:val="20"/>
              </w:rPr>
              <w:t xml:space="preserve">DIPARTIMENTO PER L'INFORMAZIONE E L'EDITORIA </w:t>
            </w:r>
          </w:p>
        </w:tc>
        <w:tc>
          <w:tcPr>
            <w:tcW w:w="4536" w:type="dxa"/>
            <w:shd w:val="clear" w:color="auto" w:fill="auto"/>
            <w:tcMar>
              <w:top w:w="0" w:type="dxa"/>
              <w:left w:w="10" w:type="dxa"/>
              <w:bottom w:w="0" w:type="dxa"/>
              <w:right w:w="10" w:type="dxa"/>
            </w:tcMar>
          </w:tcPr>
          <w:p w:rsidR="00E3233E" w:rsidRDefault="00E3233E">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p>
        </w:tc>
      </w:tr>
      <w:tr w:rsidR="00E3233E">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33E" w:rsidRDefault="003C6EBC">
            <w:pPr>
              <w:widowControl w:val="0"/>
              <w:tabs>
                <w:tab w:val="left" w:pos="90"/>
              </w:tabs>
              <w:autoSpaceDE w:val="0"/>
              <w:spacing w:before="60" w:after="60" w:line="240" w:lineRule="auto"/>
              <w:rPr>
                <w:rFonts w:ascii="Arial" w:hAnsi="Arial" w:cs="Arial"/>
                <w:i/>
                <w:iCs/>
                <w:color w:val="000000"/>
                <w:sz w:val="18"/>
                <w:szCs w:val="18"/>
              </w:rPr>
            </w:pPr>
            <w:r>
              <w:rPr>
                <w:rFonts w:ascii="Arial" w:hAnsi="Arial" w:cs="Arial"/>
                <w:i/>
                <w:iCs/>
                <w:color w:val="000000"/>
                <w:sz w:val="18"/>
                <w:szCs w:val="18"/>
              </w:rPr>
              <w:t>Ufficio per l'informazione e comunicazione istituzionale e per la tutela del diritto d'autore</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33E" w:rsidRDefault="003C6EBC">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per la tutela del diritto d'autore e dei diritti connessi e per la vigilanza sugli enti di intermediazione del diritto d'autore</w:t>
            </w:r>
          </w:p>
        </w:tc>
      </w:tr>
      <w:tr w:rsidR="0037778E" w:rsidTr="00592E14">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778E" w:rsidRDefault="0037778E" w:rsidP="00592E14">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r>
              <w:rPr>
                <w:rFonts w:ascii="Trebuchet MS" w:hAnsi="Trebuchet MS" w:cs="Trebuchet MS"/>
                <w:b/>
                <w:i/>
                <w:iCs/>
                <w:color w:val="000000"/>
                <w:sz w:val="20"/>
                <w:szCs w:val="20"/>
              </w:rPr>
              <w:t>DIPARTIMENTO PER LA PROGRAMMAZIONE E IL COORDINAMENTO DELLA POLITICA ECONOMICA</w:t>
            </w:r>
          </w:p>
        </w:tc>
        <w:tc>
          <w:tcPr>
            <w:tcW w:w="4536" w:type="dxa"/>
            <w:shd w:val="clear" w:color="auto" w:fill="auto"/>
            <w:tcMar>
              <w:top w:w="0" w:type="dxa"/>
              <w:left w:w="10" w:type="dxa"/>
              <w:bottom w:w="0" w:type="dxa"/>
              <w:right w:w="10" w:type="dxa"/>
            </w:tcMar>
          </w:tcPr>
          <w:p w:rsidR="0037778E" w:rsidRDefault="0037778E" w:rsidP="00592E14">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p>
        </w:tc>
      </w:tr>
      <w:tr w:rsidR="0037778E" w:rsidTr="00592E14">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8E" w:rsidRDefault="0037778E" w:rsidP="00592E14">
            <w:pPr>
              <w:widowControl w:val="0"/>
              <w:tabs>
                <w:tab w:val="left" w:pos="90"/>
              </w:tabs>
              <w:autoSpaceDE w:val="0"/>
              <w:spacing w:before="60" w:after="60" w:line="240" w:lineRule="auto"/>
              <w:rPr>
                <w:rFonts w:ascii="Arial" w:hAnsi="Arial" w:cs="Arial"/>
                <w:i/>
                <w:iCs/>
                <w:color w:val="000000"/>
                <w:sz w:val="18"/>
                <w:szCs w:val="18"/>
              </w:rPr>
            </w:pPr>
            <w:r>
              <w:rPr>
                <w:rFonts w:ascii="Arial" w:hAnsi="Arial" w:cs="Arial"/>
                <w:i/>
                <w:iCs/>
                <w:color w:val="000000"/>
                <w:sz w:val="18"/>
                <w:szCs w:val="18"/>
              </w:rPr>
              <w:t>Ufficio Investimenti infrastrutturali</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8E" w:rsidRDefault="0037778E" w:rsidP="00592E14">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IV Servizi di pubblica utilità in concessione</w:t>
            </w:r>
          </w:p>
        </w:tc>
      </w:tr>
      <w:tr w:rsidR="0037778E" w:rsidTr="00592E14">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8E" w:rsidRDefault="0037778E" w:rsidP="00592E14">
            <w:pPr>
              <w:widowControl w:val="0"/>
              <w:tabs>
                <w:tab w:val="left" w:pos="90"/>
              </w:tabs>
              <w:autoSpaceDE w:val="0"/>
              <w:spacing w:before="60" w:after="60" w:line="240" w:lineRule="auto"/>
              <w:rPr>
                <w:rFonts w:ascii="Arial" w:hAnsi="Arial" w:cs="Arial"/>
                <w:i/>
                <w:iCs/>
                <w:color w:val="000000"/>
                <w:sz w:val="18"/>
                <w:szCs w:val="18"/>
              </w:rPr>
            </w:pPr>
            <w:r>
              <w:rPr>
                <w:rFonts w:ascii="Arial" w:hAnsi="Arial" w:cs="Arial"/>
                <w:i/>
                <w:iCs/>
                <w:color w:val="000000"/>
                <w:sz w:val="18"/>
                <w:szCs w:val="18"/>
              </w:rPr>
              <w:t>Ufficio Investimenti per l'ambiente, le imprese e le aree urbane</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8E" w:rsidRDefault="0037778E" w:rsidP="00592E14">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VII Politiche urbane e salute</w:t>
            </w:r>
          </w:p>
        </w:tc>
      </w:tr>
      <w:tr w:rsidR="0037778E" w:rsidTr="00A52479">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778E" w:rsidRDefault="0037778E" w:rsidP="00A52479">
            <w:pPr>
              <w:widowControl w:val="0"/>
              <w:tabs>
                <w:tab w:val="left" w:pos="90"/>
              </w:tabs>
              <w:autoSpaceDE w:val="0"/>
              <w:spacing w:before="60" w:after="60" w:line="240" w:lineRule="auto"/>
            </w:pPr>
            <w:r>
              <w:rPr>
                <w:rFonts w:ascii="Trebuchet MS" w:hAnsi="Trebuchet MS" w:cs="Trebuchet MS"/>
                <w:b/>
                <w:i/>
                <w:iCs/>
                <w:color w:val="000000"/>
                <w:sz w:val="20"/>
                <w:szCs w:val="20"/>
              </w:rPr>
              <w:t>DIPARTIMENTO PER IL PERSONALE</w:t>
            </w:r>
          </w:p>
        </w:tc>
        <w:tc>
          <w:tcPr>
            <w:tcW w:w="4536" w:type="dxa"/>
            <w:shd w:val="clear" w:color="auto" w:fill="auto"/>
            <w:tcMar>
              <w:top w:w="0" w:type="dxa"/>
              <w:left w:w="10" w:type="dxa"/>
              <w:bottom w:w="0" w:type="dxa"/>
              <w:right w:w="10" w:type="dxa"/>
            </w:tcMar>
          </w:tcPr>
          <w:p w:rsidR="0037778E" w:rsidRDefault="0037778E" w:rsidP="00A52479">
            <w:pPr>
              <w:widowControl w:val="0"/>
              <w:tabs>
                <w:tab w:val="left" w:pos="90"/>
              </w:tabs>
              <w:autoSpaceDE w:val="0"/>
              <w:spacing w:before="60" w:after="60" w:line="240" w:lineRule="auto"/>
            </w:pPr>
          </w:p>
        </w:tc>
      </w:tr>
      <w:tr w:rsidR="00D92FDE" w:rsidTr="00B10C6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FDE" w:rsidRDefault="00D92FDE" w:rsidP="00B10C6C">
            <w:pPr>
              <w:widowControl w:val="0"/>
              <w:tabs>
                <w:tab w:val="left" w:pos="90"/>
              </w:tabs>
              <w:autoSpaceDE w:val="0"/>
              <w:spacing w:before="60" w:after="60" w:line="240" w:lineRule="auto"/>
            </w:pPr>
            <w:r>
              <w:rPr>
                <w:rFonts w:ascii="Arial" w:hAnsi="Arial" w:cs="Arial"/>
                <w:i/>
                <w:iCs/>
                <w:color w:val="000000"/>
                <w:sz w:val="18"/>
                <w:szCs w:val="18"/>
              </w:rPr>
              <w:t>alle dirette dipendenze del Capo Dipartimento</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FDE" w:rsidRDefault="00D92FDE" w:rsidP="00B10C6C">
            <w:pPr>
              <w:widowControl w:val="0"/>
              <w:tabs>
                <w:tab w:val="left" w:pos="90"/>
              </w:tabs>
              <w:autoSpaceDE w:val="0"/>
              <w:spacing w:before="60" w:after="60" w:line="240" w:lineRule="auto"/>
            </w:pPr>
            <w:r>
              <w:rPr>
                <w:rFonts w:ascii="Arial" w:hAnsi="Arial" w:cs="Arial"/>
                <w:b/>
                <w:iCs/>
                <w:color w:val="000000"/>
                <w:sz w:val="18"/>
                <w:szCs w:val="18"/>
              </w:rPr>
              <w:t>Servizio coordinamento, attività statistica e affari generali</w:t>
            </w:r>
          </w:p>
        </w:tc>
      </w:tr>
      <w:tr w:rsidR="005825ED" w:rsidRPr="0037778E" w:rsidTr="00227552">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825ED" w:rsidRPr="0037778E" w:rsidRDefault="005825ED" w:rsidP="00227552">
            <w:pPr>
              <w:widowControl w:val="0"/>
              <w:tabs>
                <w:tab w:val="left" w:pos="90"/>
              </w:tabs>
              <w:autoSpaceDE w:val="0"/>
              <w:spacing w:before="60" w:after="60" w:line="240" w:lineRule="auto"/>
              <w:rPr>
                <w:rFonts w:ascii="Trebuchet MS" w:hAnsi="Trebuchet MS" w:cs="Trebuchet MS"/>
                <w:b/>
                <w:i/>
                <w:iCs/>
                <w:color w:val="000000"/>
                <w:sz w:val="20"/>
                <w:szCs w:val="20"/>
                <w:highlight w:val="lightGray"/>
              </w:rPr>
            </w:pPr>
            <w:r w:rsidRPr="0037778E">
              <w:rPr>
                <w:rFonts w:ascii="Trebuchet MS" w:hAnsi="Trebuchet MS" w:cs="Trebuchet MS"/>
                <w:b/>
                <w:i/>
                <w:iCs/>
                <w:color w:val="000000"/>
                <w:sz w:val="20"/>
                <w:szCs w:val="20"/>
              </w:rPr>
              <w:t>DIPARTIMENTO PER I SERVIZI STRUMENTALI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5ED" w:rsidRPr="0037778E" w:rsidRDefault="005825ED" w:rsidP="00227552">
            <w:pPr>
              <w:widowControl w:val="0"/>
              <w:tabs>
                <w:tab w:val="left" w:pos="90"/>
              </w:tabs>
              <w:autoSpaceDE w:val="0"/>
              <w:spacing w:before="60" w:after="60" w:line="240" w:lineRule="auto"/>
              <w:rPr>
                <w:rFonts w:ascii="Trebuchet MS" w:hAnsi="Trebuchet MS" w:cs="Trebuchet MS"/>
                <w:b/>
                <w:i/>
                <w:iCs/>
                <w:color w:val="000000"/>
                <w:sz w:val="20"/>
                <w:szCs w:val="20"/>
              </w:rPr>
            </w:pPr>
          </w:p>
        </w:tc>
      </w:tr>
      <w:tr w:rsidR="005825ED" w:rsidTr="00227552">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5ED" w:rsidRDefault="005825ED" w:rsidP="00227552">
            <w:pPr>
              <w:widowControl w:val="0"/>
              <w:tabs>
                <w:tab w:val="left" w:pos="90"/>
              </w:tabs>
              <w:autoSpaceDE w:val="0"/>
              <w:spacing w:before="60" w:after="60" w:line="240" w:lineRule="auto"/>
              <w:rPr>
                <w:rFonts w:ascii="Arial" w:hAnsi="Arial" w:cs="Arial"/>
                <w:i/>
                <w:iCs/>
                <w:color w:val="000000"/>
                <w:sz w:val="18"/>
                <w:szCs w:val="18"/>
              </w:rPr>
            </w:pPr>
            <w:r>
              <w:rPr>
                <w:rFonts w:ascii="Arial" w:hAnsi="Arial" w:cs="Arial"/>
                <w:i/>
                <w:iCs/>
                <w:color w:val="000000"/>
                <w:sz w:val="18"/>
                <w:szCs w:val="18"/>
              </w:rPr>
              <w:t>Ufficio patrimonio, gare e contratti</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5ED" w:rsidRDefault="005825ED" w:rsidP="00227552">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Servizio gestione immobili</w:t>
            </w:r>
          </w:p>
        </w:tc>
      </w:tr>
      <w:tr w:rsidR="00D92FDE" w:rsidTr="00A52479">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92FDE" w:rsidRPr="00D92FDE" w:rsidRDefault="00D92FDE" w:rsidP="00D92FDE">
            <w:pPr>
              <w:widowControl w:val="0"/>
              <w:tabs>
                <w:tab w:val="left" w:pos="90"/>
              </w:tabs>
              <w:autoSpaceDE w:val="0"/>
              <w:spacing w:before="60" w:after="60" w:line="240" w:lineRule="auto"/>
              <w:rPr>
                <w:b/>
              </w:rPr>
            </w:pPr>
            <w:r w:rsidRPr="00D92FDE">
              <w:rPr>
                <w:rFonts w:ascii="Arial" w:hAnsi="Arial" w:cs="Arial"/>
                <w:b/>
                <w:i/>
                <w:iCs/>
                <w:color w:val="000000"/>
                <w:sz w:val="18"/>
                <w:szCs w:val="18"/>
              </w:rPr>
              <w:t>DIPARTIMENTO DELLA PROTEZIONE CIVILE</w:t>
            </w:r>
          </w:p>
        </w:tc>
        <w:tc>
          <w:tcPr>
            <w:tcW w:w="4536" w:type="dxa"/>
            <w:shd w:val="clear" w:color="auto" w:fill="auto"/>
            <w:tcMar>
              <w:top w:w="0" w:type="dxa"/>
              <w:left w:w="10" w:type="dxa"/>
              <w:bottom w:w="0" w:type="dxa"/>
              <w:right w:w="10" w:type="dxa"/>
            </w:tcMar>
          </w:tcPr>
          <w:p w:rsidR="00D92FDE" w:rsidRDefault="00D92FDE" w:rsidP="00D92FDE">
            <w:pPr>
              <w:widowControl w:val="0"/>
              <w:tabs>
                <w:tab w:val="left" w:pos="90"/>
              </w:tabs>
              <w:autoSpaceDE w:val="0"/>
              <w:spacing w:before="60" w:after="60" w:line="240" w:lineRule="auto"/>
            </w:pPr>
          </w:p>
        </w:tc>
      </w:tr>
      <w:tr w:rsidR="00D92FDE">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FDE" w:rsidRDefault="00D92FDE" w:rsidP="00D92FDE">
            <w:pPr>
              <w:widowControl w:val="0"/>
              <w:tabs>
                <w:tab w:val="left" w:pos="90"/>
              </w:tabs>
              <w:autoSpaceDE w:val="0"/>
              <w:spacing w:before="60" w:after="60" w:line="240" w:lineRule="auto"/>
              <w:rPr>
                <w:rFonts w:ascii="Arial" w:hAnsi="Arial" w:cs="Arial"/>
                <w:i/>
                <w:iCs/>
                <w:color w:val="000000"/>
                <w:sz w:val="18"/>
                <w:szCs w:val="18"/>
              </w:rPr>
            </w:pPr>
            <w:r>
              <w:rPr>
                <w:rFonts w:ascii="Arial" w:hAnsi="Arial" w:cs="Arial"/>
                <w:i/>
                <w:iCs/>
                <w:color w:val="000000"/>
                <w:sz w:val="18"/>
                <w:szCs w:val="18"/>
              </w:rPr>
              <w:t>Ufficio IV – Attività per il superamento dell’emergenza e il supporto agli interventi strutturali</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FDE" w:rsidRDefault="00D92FDE" w:rsidP="00D92FDE">
            <w:pPr>
              <w:widowControl w:val="0"/>
              <w:tabs>
                <w:tab w:val="left" w:pos="90"/>
              </w:tabs>
              <w:autoSpaceDE w:val="0"/>
              <w:spacing w:before="60" w:after="60" w:line="240" w:lineRule="auto"/>
              <w:rPr>
                <w:rFonts w:ascii="Arial" w:hAnsi="Arial" w:cs="Arial"/>
                <w:b/>
                <w:iCs/>
                <w:color w:val="000000"/>
                <w:sz w:val="18"/>
                <w:szCs w:val="18"/>
              </w:rPr>
            </w:pPr>
            <w:r>
              <w:rPr>
                <w:rFonts w:ascii="Arial" w:hAnsi="Arial" w:cs="Arial"/>
                <w:b/>
                <w:iCs/>
                <w:color w:val="000000"/>
                <w:sz w:val="18"/>
                <w:szCs w:val="18"/>
              </w:rPr>
              <w:t>Servizio Attività di rilievo del danno e misure provvisionali</w:t>
            </w:r>
          </w:p>
        </w:tc>
      </w:tr>
      <w:tr w:rsidR="00D92FDE" w:rsidTr="00FD2344">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92FDE" w:rsidRDefault="00D92FDE" w:rsidP="00D92FDE">
            <w:pPr>
              <w:widowControl w:val="0"/>
              <w:tabs>
                <w:tab w:val="right" w:pos="5544"/>
                <w:tab w:val="left" w:pos="5634"/>
                <w:tab w:val="center" w:pos="6488"/>
                <w:tab w:val="left" w:pos="12189"/>
              </w:tabs>
              <w:autoSpaceDE w:val="0"/>
              <w:spacing w:before="60" w:after="60" w:line="240" w:lineRule="auto"/>
              <w:rPr>
                <w:rFonts w:ascii="Trebuchet MS" w:hAnsi="Trebuchet MS" w:cs="Trebuchet MS"/>
                <w:b/>
                <w:i/>
                <w:iCs/>
                <w:color w:val="000000"/>
                <w:sz w:val="20"/>
                <w:szCs w:val="20"/>
              </w:rPr>
            </w:pPr>
            <w:r w:rsidRPr="00FD2344">
              <w:rPr>
                <w:rFonts w:ascii="Trebuchet MS" w:hAnsi="Trebuchet MS" w:cs="Trebuchet MS"/>
                <w:b/>
                <w:i/>
                <w:iCs/>
                <w:color w:val="000000"/>
                <w:sz w:val="20"/>
                <w:szCs w:val="20"/>
              </w:rPr>
              <w:t>UFFICIO DEL BILANCIO E PER IL RISCONTRO DI REGOLARITA' AMMINISTRATIVO-CONTABILE</w:t>
            </w:r>
          </w:p>
        </w:tc>
        <w:tc>
          <w:tcPr>
            <w:tcW w:w="4536" w:type="dxa"/>
            <w:shd w:val="clear" w:color="auto" w:fill="auto"/>
            <w:tcMar>
              <w:top w:w="0" w:type="dxa"/>
              <w:left w:w="10" w:type="dxa"/>
              <w:bottom w:w="0" w:type="dxa"/>
              <w:right w:w="10" w:type="dxa"/>
            </w:tcMar>
          </w:tcPr>
          <w:p w:rsidR="00D92FDE" w:rsidRDefault="00D92FDE" w:rsidP="00D92FDE">
            <w:pPr>
              <w:widowControl w:val="0"/>
              <w:tabs>
                <w:tab w:val="right" w:pos="5544"/>
                <w:tab w:val="left" w:pos="5634"/>
                <w:tab w:val="center" w:pos="6488"/>
                <w:tab w:val="left" w:pos="12189"/>
              </w:tabs>
              <w:autoSpaceDE w:val="0"/>
              <w:spacing w:before="60" w:after="60" w:line="240" w:lineRule="auto"/>
            </w:pPr>
          </w:p>
        </w:tc>
      </w:tr>
      <w:tr w:rsidR="00D92FDE">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FDE" w:rsidRDefault="00D92FDE" w:rsidP="00D92FDE">
            <w:pPr>
              <w:widowControl w:val="0"/>
              <w:tabs>
                <w:tab w:val="left" w:pos="90"/>
              </w:tabs>
              <w:autoSpaceDE w:val="0"/>
              <w:spacing w:before="60" w:after="60" w:line="240" w:lineRule="auto"/>
              <w:rPr>
                <w:rFonts w:ascii="Arial" w:hAnsi="Arial" w:cs="Arial"/>
                <w:i/>
                <w:iCs/>
                <w:color w:val="000000"/>
                <w:sz w:val="18"/>
                <w:szCs w:val="18"/>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FDE" w:rsidRDefault="00D92FDE" w:rsidP="00D92FDE">
            <w:pPr>
              <w:widowControl w:val="0"/>
              <w:tabs>
                <w:tab w:val="left" w:pos="90"/>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S</w:t>
            </w:r>
            <w:r w:rsidRPr="00FD2344">
              <w:rPr>
                <w:rFonts w:ascii="Arial" w:hAnsi="Arial" w:cs="Arial"/>
                <w:b/>
                <w:bCs/>
                <w:color w:val="000000"/>
                <w:sz w:val="18"/>
                <w:szCs w:val="18"/>
              </w:rPr>
              <w:t>ervizio 3 - riscontro atti relativi alle spese dei Centri di responsabilità 1, 3, 4, 5, 10, 12, 15, 16 e 18</w:t>
            </w:r>
          </w:p>
        </w:tc>
      </w:tr>
      <w:tr w:rsidR="00D92FDE">
        <w:tc>
          <w:tcPr>
            <w:tcW w:w="115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92FDE" w:rsidRPr="005825ED" w:rsidRDefault="00D92FDE" w:rsidP="00D92FDE">
            <w:pPr>
              <w:widowControl w:val="0"/>
              <w:tabs>
                <w:tab w:val="right" w:pos="5544"/>
                <w:tab w:val="left" w:pos="5634"/>
                <w:tab w:val="center" w:pos="6488"/>
                <w:tab w:val="left" w:pos="12189"/>
              </w:tabs>
              <w:autoSpaceDE w:val="0"/>
              <w:spacing w:before="60" w:after="60" w:line="240" w:lineRule="auto"/>
            </w:pPr>
            <w:r w:rsidRPr="005825ED">
              <w:rPr>
                <w:rFonts w:ascii="Trebuchet MS" w:hAnsi="Trebuchet MS" w:cs="Trebuchet MS"/>
                <w:b/>
                <w:i/>
                <w:iCs/>
                <w:sz w:val="20"/>
                <w:szCs w:val="20"/>
              </w:rPr>
              <w:t>UFFICIO DEL SEGRETARIO GENERALE</w:t>
            </w:r>
          </w:p>
        </w:tc>
        <w:tc>
          <w:tcPr>
            <w:tcW w:w="4536" w:type="dxa"/>
            <w:shd w:val="clear" w:color="auto" w:fill="auto"/>
            <w:tcMar>
              <w:top w:w="0" w:type="dxa"/>
              <w:left w:w="10" w:type="dxa"/>
              <w:bottom w:w="0" w:type="dxa"/>
              <w:right w:w="10" w:type="dxa"/>
            </w:tcMar>
          </w:tcPr>
          <w:p w:rsidR="00D92FDE" w:rsidRPr="005825ED" w:rsidRDefault="00D92FDE" w:rsidP="00D92FDE">
            <w:pPr>
              <w:widowControl w:val="0"/>
              <w:tabs>
                <w:tab w:val="right" w:pos="5544"/>
                <w:tab w:val="left" w:pos="5634"/>
                <w:tab w:val="center" w:pos="6488"/>
                <w:tab w:val="left" w:pos="12189"/>
              </w:tabs>
              <w:autoSpaceDE w:val="0"/>
              <w:spacing w:before="60" w:after="60" w:line="240" w:lineRule="auto"/>
            </w:pPr>
          </w:p>
        </w:tc>
      </w:tr>
      <w:tr w:rsidR="00D92FDE">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2FDE" w:rsidRPr="005825ED" w:rsidRDefault="00D92FDE" w:rsidP="00D92FDE">
            <w:pPr>
              <w:widowControl w:val="0"/>
              <w:tabs>
                <w:tab w:val="left" w:pos="90"/>
              </w:tabs>
              <w:autoSpaceDE w:val="0"/>
              <w:spacing w:before="60" w:after="60" w:line="240" w:lineRule="auto"/>
              <w:rPr>
                <w:rFonts w:ascii="Arial" w:hAnsi="Arial" w:cs="Arial"/>
                <w:i/>
                <w:iCs/>
                <w:sz w:val="18"/>
                <w:szCs w:val="18"/>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2FDE" w:rsidRPr="005825ED" w:rsidRDefault="00D92FDE" w:rsidP="00D92FDE">
            <w:pPr>
              <w:widowControl w:val="0"/>
              <w:tabs>
                <w:tab w:val="left" w:pos="90"/>
              </w:tabs>
              <w:autoSpaceDE w:val="0"/>
              <w:spacing w:before="60" w:after="60" w:line="240" w:lineRule="auto"/>
              <w:rPr>
                <w:rFonts w:ascii="Arial" w:hAnsi="Arial" w:cs="Arial"/>
                <w:b/>
                <w:bCs/>
                <w:sz w:val="18"/>
                <w:szCs w:val="18"/>
              </w:rPr>
            </w:pPr>
            <w:r w:rsidRPr="005825ED">
              <w:rPr>
                <w:rFonts w:ascii="Arial" w:hAnsi="Arial" w:cs="Arial"/>
                <w:b/>
                <w:bCs/>
                <w:sz w:val="18"/>
                <w:szCs w:val="18"/>
              </w:rPr>
              <w:t>Servizio per la conservazione, l’informatizzazione e la ricerca della documentazione della Presidenza del Consiglio dei ministri</w:t>
            </w:r>
          </w:p>
        </w:tc>
      </w:tr>
    </w:tbl>
    <w:p w:rsidR="00E3233E" w:rsidRDefault="00E3233E">
      <w:pPr>
        <w:widowControl w:val="0"/>
        <w:tabs>
          <w:tab w:val="left" w:pos="90"/>
          <w:tab w:val="center" w:pos="7565"/>
          <w:tab w:val="right" w:pos="15641"/>
        </w:tabs>
        <w:autoSpaceDE w:val="0"/>
        <w:spacing w:before="120" w:after="0" w:line="240" w:lineRule="auto"/>
        <w:jc w:val="both"/>
        <w:rPr>
          <w:rFonts w:ascii="Arial" w:hAnsi="Arial" w:cs="Arial"/>
          <w:color w:val="000000"/>
          <w:sz w:val="16"/>
          <w:szCs w:val="16"/>
        </w:rPr>
      </w:pPr>
    </w:p>
    <w:p w:rsidR="00E3233E" w:rsidRDefault="003C6EBC">
      <w:pPr>
        <w:widowControl w:val="0"/>
        <w:tabs>
          <w:tab w:val="left" w:pos="567"/>
          <w:tab w:val="center" w:pos="7565"/>
          <w:tab w:val="right" w:pos="15641"/>
        </w:tabs>
        <w:autoSpaceDE w:val="0"/>
        <w:spacing w:before="60" w:after="0" w:line="240" w:lineRule="auto"/>
        <w:ind w:left="567" w:hanging="567"/>
        <w:jc w:val="both"/>
        <w:rPr>
          <w:rFonts w:ascii="Arial" w:hAnsi="Arial" w:cs="Arial"/>
          <w:color w:val="000000"/>
          <w:sz w:val="16"/>
          <w:szCs w:val="16"/>
        </w:rPr>
      </w:pPr>
      <w:r>
        <w:rPr>
          <w:rFonts w:ascii="Arial" w:hAnsi="Arial" w:cs="Arial"/>
          <w:color w:val="000000"/>
          <w:sz w:val="16"/>
          <w:szCs w:val="16"/>
        </w:rPr>
        <w:t>Note:</w:t>
      </w:r>
      <w:r>
        <w:rPr>
          <w:rFonts w:ascii="Arial" w:hAnsi="Arial" w:cs="Arial"/>
          <w:color w:val="000000"/>
          <w:sz w:val="16"/>
          <w:szCs w:val="16"/>
        </w:rPr>
        <w:tab/>
        <w:t>la situazione tiene conto dei posti di funzione previsti dai decreti organizzativi in essere al momento della rilevazione. Ciò non toglie, ovviamente che, in taluni casi, i servizi siano interessati da riorganizzazione della struttura di appartenenza.</w:t>
      </w:r>
    </w:p>
    <w:p w:rsidR="00E3233E" w:rsidRDefault="003C6EBC">
      <w:pPr>
        <w:widowControl w:val="0"/>
        <w:tabs>
          <w:tab w:val="left" w:pos="567"/>
          <w:tab w:val="center" w:pos="7565"/>
          <w:tab w:val="right" w:pos="15641"/>
        </w:tabs>
        <w:autoSpaceDE w:val="0"/>
        <w:spacing w:before="60" w:after="0" w:line="240" w:lineRule="auto"/>
        <w:ind w:left="567" w:hanging="567"/>
        <w:jc w:val="both"/>
      </w:pPr>
      <w:r>
        <w:rPr>
          <w:rFonts w:ascii="Arial" w:hAnsi="Arial" w:cs="Arial"/>
          <w:color w:val="000000"/>
          <w:sz w:val="16"/>
          <w:szCs w:val="16"/>
        </w:rPr>
        <w:tab/>
      </w:r>
      <w:r>
        <w:rPr>
          <w:rFonts w:ascii="Arial" w:hAnsi="Arial" w:cs="Arial"/>
          <w:color w:val="000000"/>
          <w:sz w:val="16"/>
          <w:szCs w:val="16"/>
        </w:rPr>
        <w:tab/>
        <w:t>Naturalmente, tra i posti disponibili vi sono anche quelli già oggetto di procedure di interpello per le quali non risulti pervenuta la comunicazione di esito da parte della struttura proponente nei tempi previsti dal punto  6.3 della Direttiva 11 maggio 2016 recante i criteri e modalità per il conferimento degli incarichi dirigenziali</w:t>
      </w:r>
    </w:p>
    <w:sectPr w:rsidR="00E3233E">
      <w:footerReference w:type="default" r:id="rId8"/>
      <w:pgSz w:w="16834" w:h="11904" w:orient="landscape"/>
      <w:pgMar w:top="454" w:right="284" w:bottom="567" w:left="567" w:header="720" w:footer="4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71" w:rsidRDefault="006F4571">
      <w:pPr>
        <w:spacing w:after="0" w:line="240" w:lineRule="auto"/>
      </w:pPr>
      <w:r>
        <w:separator/>
      </w:r>
    </w:p>
  </w:endnote>
  <w:endnote w:type="continuationSeparator" w:id="0">
    <w:p w:rsidR="006F4571" w:rsidRDefault="006F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71" w:rsidRDefault="006F4571">
    <w:pPr>
      <w:widowControl w:val="0"/>
      <w:tabs>
        <w:tab w:val="left" w:pos="90"/>
        <w:tab w:val="center" w:pos="7565"/>
        <w:tab w:val="right" w:pos="15641"/>
      </w:tabs>
      <w:autoSpaceDE w:val="0"/>
      <w:spacing w:before="120" w:after="0" w:line="240" w:lineRule="auto"/>
    </w:pPr>
    <w:r>
      <w:rPr>
        <w:rFonts w:ascii="Arial" w:hAnsi="Arial" w:cs="Arial"/>
        <w:color w:val="000000"/>
        <w:sz w:val="16"/>
        <w:szCs w:val="16"/>
      </w:rPr>
      <w:tab/>
    </w:r>
    <w:r>
      <w:rPr>
        <w:rFonts w:ascii="Arial" w:hAnsi="Arial" w:cs="Arial"/>
        <w:sz w:val="24"/>
        <w:szCs w:val="24"/>
      </w:rPr>
      <w:tab/>
    </w:r>
    <w:r>
      <w:rPr>
        <w:rFonts w:ascii="Arial" w:hAnsi="Arial" w:cs="Arial"/>
        <w:sz w:val="24"/>
        <w:szCs w:val="24"/>
      </w:rPr>
      <w:tab/>
    </w:r>
    <w:r>
      <w:rPr>
        <w:rFonts w:ascii="Arial" w:hAnsi="Arial" w:cs="Arial"/>
        <w:i/>
        <w:iCs/>
        <w:color w:val="000000"/>
        <w:sz w:val="16"/>
        <w:szCs w:val="16"/>
      </w:rPr>
      <w:t>DIP-UTGCF-STGRM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71" w:rsidRDefault="006F4571">
      <w:pPr>
        <w:spacing w:after="0" w:line="240" w:lineRule="auto"/>
      </w:pPr>
      <w:r>
        <w:rPr>
          <w:color w:val="000000"/>
        </w:rPr>
        <w:separator/>
      </w:r>
    </w:p>
  </w:footnote>
  <w:footnote w:type="continuationSeparator" w:id="0">
    <w:p w:rsidR="006F4571" w:rsidRDefault="006F4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3233E"/>
    <w:rsid w:val="000657D9"/>
    <w:rsid w:val="001F0AC6"/>
    <w:rsid w:val="002549FE"/>
    <w:rsid w:val="00260364"/>
    <w:rsid w:val="002D0090"/>
    <w:rsid w:val="0037778E"/>
    <w:rsid w:val="003C6EBC"/>
    <w:rsid w:val="004A7753"/>
    <w:rsid w:val="005825ED"/>
    <w:rsid w:val="00640CE6"/>
    <w:rsid w:val="00663CF8"/>
    <w:rsid w:val="00670AEC"/>
    <w:rsid w:val="006F4571"/>
    <w:rsid w:val="008B4E59"/>
    <w:rsid w:val="00A67348"/>
    <w:rsid w:val="00BF1CEA"/>
    <w:rsid w:val="00D861DF"/>
    <w:rsid w:val="00D92FDE"/>
    <w:rsid w:val="00DF2F27"/>
    <w:rsid w:val="00E3233E"/>
    <w:rsid w:val="00FD2344"/>
    <w:rsid w:val="00FE0D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cs="Times New Roman"/>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cs="Times New Roman"/>
    </w:rPr>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 w:type="character" w:customStyle="1" w:styleId="Carpredefinitoparagrafo1">
    <w:name w:val="Car. predefinito paragrafo1"/>
  </w:style>
  <w:style w:type="paragraph" w:customStyle="1" w:styleId="Normale1">
    <w:name w:val="Normale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cs="Times New Roman"/>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cs="Times New Roman"/>
    </w:rPr>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 w:type="character" w:customStyle="1" w:styleId="Carpredefinitoparagrafo1">
    <w:name w:val="Car. predefinito paragrafo1"/>
  </w:style>
  <w:style w:type="paragraph" w:customStyle="1" w:styleId="Normale1">
    <w:name w:val="Normale1"/>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2D2C-3EE6-4559-BAD1-E6C06CBA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 Rosanna</dc:creator>
  <cp:lastModifiedBy>Oliveri Rosanna</cp:lastModifiedBy>
  <cp:revision>3</cp:revision>
  <cp:lastPrinted>2017-07-14T12:56:00Z</cp:lastPrinted>
  <dcterms:created xsi:type="dcterms:W3CDTF">2018-01-16T13:48:00Z</dcterms:created>
  <dcterms:modified xsi:type="dcterms:W3CDTF">2018-01-16T13:51:00Z</dcterms:modified>
</cp:coreProperties>
</file>